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7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lastRenderedPageBreak/>
        <w:t>Совокупные расходы на пенсии в последние годы составляют около 9% ВВП.</w:t>
      </w:r>
    </w:p>
    <w:p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августе введено в эксплуатацию 2,13 млн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году к вводу предусмотрено 4 млн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кв.м, или 31,8% ввода по стране.</w:t>
      </w:r>
    </w:p>
    <w:p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.ч. 83,4% жителей агрогородков.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Пересадка органов для белорусов бесплатная. Государству же </w:t>
      </w: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Общий охват детей от 1 года до 6 лет учреждениями образования составляет 83,6%. Норматив охвата детей 5-летнего возраста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подготовкой к обучению в учреждениях общего среднего образования выполняется на 100% во всех областях и г.Минске.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Беларуси организована доставка детей к месту учебы везде, где это необходимо. В этом учебном году этой услугой охвачены более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</w:p>
    <w:p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республике функционируют 42 государственных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6011DB">
        <w:rPr>
          <w:rFonts w:ascii="Times New Roman" w:hAnsi="Times New Roman" w:cs="Times New Roman"/>
          <w:sz w:val="30"/>
          <w:szCs w:val="30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 w:cs="Times New Roman"/>
          <w:sz w:val="30"/>
          <w:szCs w:val="30"/>
        </w:rPr>
        <w:t>Social Progress Index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:rsidR="00274566" w:rsidRPr="006011DB" w:rsidRDefault="00274566" w:rsidP="00274566"/>
    <w:p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8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8920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C6" w:rsidRDefault="00590CC6" w:rsidP="008920C9">
      <w:pPr>
        <w:spacing w:after="0" w:line="240" w:lineRule="auto"/>
      </w:pPr>
      <w:r>
        <w:separator/>
      </w:r>
    </w:p>
  </w:endnote>
  <w:endnote w:type="continuationSeparator" w:id="0">
    <w:p w:rsidR="00590CC6" w:rsidRDefault="00590CC6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C6" w:rsidRDefault="00590CC6" w:rsidP="008920C9">
      <w:pPr>
        <w:spacing w:after="0" w:line="240" w:lineRule="auto"/>
      </w:pPr>
      <w:r>
        <w:separator/>
      </w:r>
    </w:p>
  </w:footnote>
  <w:footnote w:type="continuationSeparator" w:id="0">
    <w:p w:rsidR="00590CC6" w:rsidRDefault="00590CC6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623627"/>
      <w:docPartObj>
        <w:docPartGallery w:val="Page Numbers (Top of Page)"/>
        <w:docPartUnique/>
      </w:docPartObj>
    </w:sdtPr>
    <w:sdtContent>
      <w:p w:rsidR="008920C9" w:rsidRDefault="002A6296">
        <w:pPr>
          <w:pStyle w:val="a7"/>
          <w:jc w:val="center"/>
        </w:pPr>
        <w:r>
          <w:fldChar w:fldCharType="begin"/>
        </w:r>
        <w:r w:rsidR="008920C9">
          <w:instrText>PAGE   \* MERGEFORMAT</w:instrText>
        </w:r>
        <w:r>
          <w:fldChar w:fldCharType="separate"/>
        </w:r>
        <w:r w:rsidR="00AE63E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350FF"/>
    <w:rsid w:val="0024193D"/>
    <w:rsid w:val="00266583"/>
    <w:rsid w:val="00274566"/>
    <w:rsid w:val="002A629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0CC6"/>
    <w:rsid w:val="00594F3D"/>
    <w:rsid w:val="005960F4"/>
    <w:rsid w:val="005B5D92"/>
    <w:rsid w:val="005C4D2F"/>
    <w:rsid w:val="005E39D9"/>
    <w:rsid w:val="005E3C69"/>
    <w:rsid w:val="005E43B3"/>
    <w:rsid w:val="005E5F12"/>
    <w:rsid w:val="006011DB"/>
    <w:rsid w:val="00610928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8E2B44"/>
    <w:rsid w:val="00922D28"/>
    <w:rsid w:val="00923B60"/>
    <w:rsid w:val="009278CE"/>
    <w:rsid w:val="009A17D7"/>
    <w:rsid w:val="009A68D7"/>
    <w:rsid w:val="009B7C4C"/>
    <w:rsid w:val="009D187E"/>
    <w:rsid w:val="009E409A"/>
    <w:rsid w:val="009E6032"/>
    <w:rsid w:val="00A56298"/>
    <w:rsid w:val="00AB2191"/>
    <w:rsid w:val="00AB31ED"/>
    <w:rsid w:val="00AB3ABB"/>
    <w:rsid w:val="00AE63EA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by/upload/add/centers_supporting/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lukashenko-vstupil-v-dolzhnost-prezidenta-belarusi-407890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765A-E581-4E8E-B7E7-F633AABD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Пользователь</cp:lastModifiedBy>
  <cp:revision>2</cp:revision>
  <cp:lastPrinted>2020-10-12T11:38:00Z</cp:lastPrinted>
  <dcterms:created xsi:type="dcterms:W3CDTF">2020-10-13T14:51:00Z</dcterms:created>
  <dcterms:modified xsi:type="dcterms:W3CDTF">2020-10-13T14:51:00Z</dcterms:modified>
</cp:coreProperties>
</file>